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5">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bookmarkStart w:colFirst="0" w:colLast="0" w:name="_heading=h.gjdgxs" w:id="0"/>
      <w:bookmarkEnd w:id="0"/>
      <w:r w:rsidDel="00000000" w:rsidR="00000000" w:rsidRPr="00000000">
        <w:rPr>
          <w:rFonts w:ascii="Arial" w:cs="Arial" w:eastAsia="Arial" w:hAnsi="Arial"/>
          <w:b w:val="1"/>
          <w:color w:val="000000"/>
          <w:sz w:val="24"/>
          <w:szCs w:val="24"/>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color w:val="000000"/>
        </w:rPr>
      </w:pPr>
      <w:r w:rsidDel="00000000" w:rsidR="00000000" w:rsidRPr="00000000">
        <w:rPr>
          <w:rFonts w:ascii="Arial" w:cs="Arial" w:eastAsia="Arial" w:hAnsi="Arial"/>
          <w:color w:val="000000"/>
          <w:rtl w:val="0"/>
        </w:rPr>
        <w:t xml:space="preserve">The Framework Prices: </w:t>
      </w:r>
      <w:r w:rsidDel="00000000" w:rsidR="00000000" w:rsidRPr="00000000">
        <w:rPr>
          <w:rtl w:val="0"/>
        </w:rPr>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pos="1985"/>
          <w:tab w:val="left" w:pos="2127"/>
          <w:tab w:val="left" w:pos="1440"/>
        </w:tabs>
        <w:spacing w:after="120" w:before="120" w:line="240" w:lineRule="auto"/>
        <w:ind w:left="1980" w:hanging="810"/>
        <w:jc w:val="both"/>
        <w:rPr>
          <w:rFonts w:ascii="Arial" w:cs="Arial" w:eastAsia="Arial" w:hAnsi="Arial"/>
          <w:color w:val="000000"/>
        </w:rPr>
      </w:pPr>
      <w:r w:rsidDel="00000000" w:rsidR="00000000" w:rsidRPr="00000000">
        <w:rPr>
          <w:rFonts w:ascii="Arial" w:cs="Arial" w:eastAsia="Arial" w:hAnsi="Arial"/>
          <w:color w:val="000000"/>
          <w:rtl w:val="0"/>
        </w:rPr>
        <w:t xml:space="preserve">will be used as the basis for the charges (and are maximums that the Supplier may charge) under each Call Off Contract; and</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rPr>
      </w:pPr>
      <w:r w:rsidDel="00000000" w:rsidR="00000000" w:rsidRPr="00000000">
        <w:rPr>
          <w:rFonts w:ascii="Arial" w:cs="Arial" w:eastAsia="Arial" w:hAnsi="Arial"/>
          <w:color w:val="000000"/>
          <w:rtl w:val="0"/>
        </w:rPr>
        <w:t xml:space="preserve">cannot be increased except as in accordance with this Schedule.</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color w:val="000000"/>
        </w:rPr>
      </w:pPr>
      <w:r w:rsidDel="00000000" w:rsidR="00000000" w:rsidRPr="00000000">
        <w:rPr>
          <w:rFonts w:ascii="Arial" w:cs="Arial" w:eastAsia="Arial" w:hAnsi="Arial"/>
          <w:color w:val="000000"/>
          <w:rtl w:val="0"/>
        </w:rPr>
        <w:t xml:space="preserve">The Charges:</w:t>
      </w:r>
      <w:r w:rsidDel="00000000" w:rsidR="00000000" w:rsidRPr="00000000">
        <w:rPr>
          <w:rtl w:val="0"/>
        </w:rPr>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rPr>
      </w:pPr>
      <w:r w:rsidDel="00000000" w:rsidR="00000000" w:rsidRPr="00000000">
        <w:rPr>
          <w:rFonts w:ascii="Arial" w:cs="Arial" w:eastAsia="Arial" w:hAnsi="Arial"/>
          <w:color w:val="000000"/>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rPr>
      </w:pPr>
      <w:r w:rsidDel="00000000" w:rsidR="00000000" w:rsidRPr="00000000">
        <w:rPr>
          <w:rFonts w:ascii="Arial" w:cs="Arial" w:eastAsia="Arial" w:hAnsi="Arial"/>
          <w:color w:val="000000"/>
          <w:rtl w:val="0"/>
        </w:rPr>
        <w:t xml:space="preserve">cannot be increased except as specifically permitted by the Call Off Contract and in particular shall only be subject to Indexation where specifically stated in the Order Form; and</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rPr>
      </w:pPr>
      <w:r w:rsidDel="00000000" w:rsidR="00000000" w:rsidRPr="00000000">
        <w:rPr>
          <w:rFonts w:ascii="Arial" w:cs="Arial" w:eastAsia="Arial" w:hAnsi="Arial"/>
          <w:color w:val="000000"/>
          <w:rtl w:val="0"/>
        </w:rPr>
        <w:t xml:space="preserve">shall not be impacted by any change to the Framework Prices.</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color w:val="000000"/>
        </w:rPr>
      </w:pPr>
      <w:bookmarkStart w:colFirst="0" w:colLast="0" w:name="_heading=h.30j0zll" w:id="1"/>
      <w:bookmarkEnd w:id="1"/>
      <w:r w:rsidDel="00000000" w:rsidR="00000000" w:rsidRPr="00000000">
        <w:rPr>
          <w:rFonts w:ascii="Arial" w:cs="Arial" w:eastAsia="Arial" w:hAnsi="Arial"/>
          <w:color w:val="000000"/>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r w:rsidDel="00000000" w:rsidR="00000000" w:rsidRPr="00000000">
        <w:rPr>
          <w:rtl w:val="0"/>
        </w:rPr>
      </w:r>
    </w:p>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rPr>
      </w:pPr>
      <w:r w:rsidDel="00000000" w:rsidR="00000000" w:rsidRPr="00000000">
        <w:rPr>
          <w:rFonts w:ascii="Arial" w:cs="Arial" w:eastAsia="Arial" w:hAnsi="Arial"/>
          <w:b w:val="1"/>
          <w:color w:val="000000"/>
          <w:rtl w:val="0"/>
        </w:rPr>
        <w:t xml:space="preserve">How Framework Prices are calculated</w:t>
      </w:r>
      <w:r w:rsidDel="00000000" w:rsidR="00000000" w:rsidRPr="00000000">
        <w:rPr>
          <w:rtl w:val="0"/>
        </w:rPr>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color w:val="000000"/>
        </w:rPr>
      </w:pPr>
      <w:r w:rsidDel="00000000" w:rsidR="00000000" w:rsidRPr="00000000">
        <w:rPr>
          <w:rFonts w:ascii="Arial" w:cs="Arial" w:eastAsia="Arial" w:hAnsi="Arial"/>
          <w:color w:val="000000"/>
          <w:rtl w:val="0"/>
        </w:rPr>
        <w:t xml:space="preserve">The pricing mechanisms and prices set out in Annex 1 shall be available for use in calculation of Framework Prices in Call Off Contracts.</w:t>
      </w:r>
      <w:r w:rsidDel="00000000" w:rsidR="00000000" w:rsidRPr="00000000">
        <w:rPr>
          <w:rtl w:val="0"/>
        </w:rPr>
      </w:r>
    </w:p>
    <w:p w:rsidR="00000000" w:rsidDel="00000000" w:rsidP="00000000" w:rsidRDefault="00000000" w:rsidRPr="00000000" w14:paraId="00000011">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rPr>
      </w:pPr>
      <w:bookmarkStart w:colFirst="0" w:colLast="0" w:name="_heading=h.1fob9te" w:id="2"/>
      <w:bookmarkEnd w:id="2"/>
      <w:r w:rsidDel="00000000" w:rsidR="00000000" w:rsidRPr="00000000">
        <w:rPr>
          <w:rFonts w:ascii="Arial" w:cs="Arial" w:eastAsia="Arial" w:hAnsi="Arial"/>
          <w:b w:val="1"/>
          <w:color w:val="000000"/>
          <w:rtl w:val="0"/>
        </w:rPr>
        <w:t xml:space="preserve">Are costs and expenses are included in the Framework Prices - Not Used              All Costs and Expenses are to be Agreed Outside of the Framework Rates</w:t>
      </w:r>
      <w:r w:rsidDel="00000000" w:rsidR="00000000" w:rsidRPr="00000000">
        <w:rPr>
          <w:rtl w:val="0"/>
        </w:rPr>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color w:val="000000"/>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Except as expressly set out in Paragraph 4 below, or otherwise stated in a Call Off Order Form the Framework Prices</w:t>
      </w:r>
      <w:r w:rsidDel="00000000" w:rsidR="00000000" w:rsidRPr="00000000">
        <w:rPr>
          <w:rFonts w:ascii="Arial" w:cs="Arial" w:eastAsia="Arial" w:hAnsi="Arial"/>
          <w:rtl w:val="0"/>
        </w:rPr>
        <w:t xml:space="preserve">. Travel Costs and Expenses </w:t>
      </w:r>
      <w:r w:rsidDel="00000000" w:rsidR="00000000" w:rsidRPr="00000000">
        <w:rPr>
          <w:rFonts w:ascii="Arial" w:cs="Arial" w:eastAsia="Arial" w:hAnsi="Arial"/>
          <w:color w:val="000000"/>
          <w:rtl w:val="0"/>
        </w:rPr>
        <w:t xml:space="preserve">relating to the provision of Deliverables shall be agreed outside of the Framework Rates. No further amounts shall be payable in respect of matters such as:</w:t>
      </w:r>
      <w:r w:rsidDel="00000000" w:rsidR="00000000" w:rsidRPr="00000000">
        <w:rPr>
          <w:rtl w:val="0"/>
        </w:rPr>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pos="1985"/>
          <w:tab w:val="left" w:pos="2127"/>
          <w:tab w:val="left" w:pos="1980"/>
        </w:tabs>
        <w:spacing w:after="120" w:before="120" w:line="240" w:lineRule="auto"/>
        <w:ind w:left="1980" w:hanging="810"/>
        <w:jc w:val="both"/>
        <w:rPr>
          <w:rFonts w:ascii="Arial" w:cs="Arial" w:eastAsia="Arial" w:hAnsi="Arial"/>
          <w:color w:val="000000"/>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pos="1985"/>
          <w:tab w:val="left" w:pos="2127"/>
          <w:tab w:val="left" w:pos="1980"/>
        </w:tabs>
        <w:spacing w:after="120" w:before="120" w:line="240" w:lineRule="auto"/>
        <w:ind w:left="1980" w:hanging="810"/>
        <w:jc w:val="both"/>
        <w:rPr>
          <w:rFonts w:ascii="Arial" w:cs="Arial" w:eastAsia="Arial" w:hAnsi="Arial"/>
          <w:color w:val="000000"/>
        </w:rPr>
      </w:pPr>
      <w:r w:rsidDel="00000000" w:rsidR="00000000" w:rsidRPr="00000000">
        <w:rPr>
          <w:rFonts w:ascii="Arial" w:cs="Arial" w:eastAsia="Arial" w:hAnsi="Arial"/>
          <w:color w:val="000000"/>
          <w:rtl w:val="0"/>
        </w:rPr>
        <w:t xml:space="preserve">costs incurred prior to the commencement of any Call Off Contract.</w:t>
      </w:r>
    </w:p>
    <w:p w:rsidR="00000000" w:rsidDel="00000000" w:rsidP="00000000" w:rsidRDefault="00000000" w:rsidRPr="00000000" w14:paraId="00000015">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rPr>
      </w:pPr>
      <w:r w:rsidDel="00000000" w:rsidR="00000000" w:rsidRPr="00000000">
        <w:rPr>
          <w:rFonts w:ascii="Arial" w:cs="Arial" w:eastAsia="Arial" w:hAnsi="Arial"/>
          <w:b w:val="1"/>
          <w:color w:val="000000"/>
          <w:rtl w:val="0"/>
        </w:rPr>
        <w:t xml:space="preserve">When the Supplier can ask to change the Framework Prices</w:t>
      </w: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rPr>
      </w:pPr>
      <w:r w:rsidDel="00000000" w:rsidR="00000000" w:rsidRPr="00000000">
        <w:rPr>
          <w:rFonts w:ascii="Arial" w:cs="Arial" w:eastAsia="Arial" w:hAnsi="Arial"/>
          <w:color w:val="000000"/>
          <w:rtl w:val="0"/>
        </w:rPr>
        <w:t xml:space="preserve">The Framework Prices will be fixed for the first </w:t>
      </w:r>
      <w:r w:rsidDel="00000000" w:rsidR="00000000" w:rsidRPr="00000000">
        <w:rPr>
          <w:rFonts w:ascii="Arial" w:cs="Arial" w:eastAsia="Arial" w:hAnsi="Arial"/>
          <w:rtl w:val="0"/>
        </w:rPr>
        <w:t xml:space="preserve">2</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color w:val="000000"/>
          <w:rtl w:val="0"/>
        </w:rPr>
        <w:t xml:space="preserve">years following the Framework Contract Commencement Date (the date of expiry of such period is a "</w:t>
      </w:r>
      <w:r w:rsidDel="00000000" w:rsidR="00000000" w:rsidRPr="00000000">
        <w:rPr>
          <w:rFonts w:ascii="Arial" w:cs="Arial" w:eastAsia="Arial" w:hAnsi="Arial"/>
          <w:b w:val="1"/>
          <w:color w:val="000000"/>
          <w:rtl w:val="0"/>
        </w:rPr>
        <w:t xml:space="preserve">Review Date</w:t>
      </w:r>
      <w:r w:rsidDel="00000000" w:rsidR="00000000" w:rsidRPr="00000000">
        <w:rPr>
          <w:rFonts w:ascii="Arial" w:cs="Arial" w:eastAsia="Arial" w:hAnsi="Arial"/>
          <w:color w:val="000000"/>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color w:val="000000"/>
          <w:rtl w:val="0"/>
        </w:rPr>
        <w:t xml:space="preserve">Review Date</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color w:val="000000"/>
        </w:rPr>
      </w:pPr>
      <w:bookmarkStart w:colFirst="0" w:colLast="0" w:name="_heading=h.3znysh7" w:id="3"/>
      <w:bookmarkEnd w:id="3"/>
      <w:r w:rsidDel="00000000" w:rsidR="00000000" w:rsidRPr="00000000">
        <w:rPr>
          <w:rFonts w:ascii="Arial" w:cs="Arial" w:eastAsia="Arial" w:hAnsi="Arial"/>
          <w:color w:val="000000"/>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pos="709"/>
        </w:tabs>
        <w:spacing w:after="120" w:before="120" w:line="240" w:lineRule="auto"/>
        <w:ind w:left="644" w:firstLine="0"/>
        <w:jc w:val="both"/>
        <w:rPr>
          <w:rFonts w:ascii="Arial" w:cs="Arial" w:eastAsia="Arial" w:hAnsi="Arial"/>
        </w:rPr>
      </w:pPr>
      <w:bookmarkStart w:colFirst="0" w:colLast="0" w:name="_heading=h.2et92p0" w:id="4"/>
      <w:bookmarkEnd w:id="4"/>
      <w:r w:rsidDel="00000000" w:rsidR="00000000" w:rsidRPr="00000000">
        <w:rPr>
          <w:rtl w:val="0"/>
        </w:rPr>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color w:val="000000"/>
        </w:rPr>
      </w:pPr>
      <w:r w:rsidDel="00000000" w:rsidR="00000000" w:rsidRPr="00000000">
        <w:rPr>
          <w:rFonts w:ascii="Arial" w:cs="Arial" w:eastAsia="Arial" w:hAnsi="Arial"/>
          <w:color w:val="000000"/>
          <w:rtl w:val="0"/>
        </w:rPr>
        <w:t xml:space="preserve">Any notice requesting an increase shall include:</w:t>
      </w:r>
      <w:r w:rsidDel="00000000" w:rsidR="00000000" w:rsidRPr="00000000">
        <w:rPr>
          <w:rtl w:val="0"/>
        </w:rPr>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rPr>
      </w:pPr>
      <w:r w:rsidDel="00000000" w:rsidR="00000000" w:rsidRPr="00000000">
        <w:rPr>
          <w:rFonts w:ascii="Arial" w:cs="Arial" w:eastAsia="Arial" w:hAnsi="Arial"/>
          <w:color w:val="000000"/>
          <w:rtl w:val="0"/>
        </w:rPr>
        <w:t xml:space="preserve">a list of the Framework Prices to be reviewed;</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rPr>
      </w:pPr>
      <w:r w:rsidDel="00000000" w:rsidR="00000000" w:rsidRPr="00000000">
        <w:rPr>
          <w:rFonts w:ascii="Arial" w:cs="Arial" w:eastAsia="Arial" w:hAnsi="Arial"/>
          <w:color w:val="000000"/>
          <w:rtl w:val="0"/>
        </w:rPr>
        <w:t xml:space="preserve">for each Framework Price under review, written evidence of the justification for the requested increase including:</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jc w:val="both"/>
        <w:rPr>
          <w:rFonts w:ascii="Arial" w:cs="Arial" w:eastAsia="Arial" w:hAnsi="Arial"/>
          <w:color w:val="000000"/>
        </w:rPr>
      </w:pPr>
      <w:r w:rsidDel="00000000" w:rsidR="00000000" w:rsidRPr="00000000">
        <w:rPr>
          <w:rFonts w:ascii="Arial" w:cs="Arial" w:eastAsia="Arial" w:hAnsi="Arial"/>
          <w:color w:val="000000"/>
          <w:rtl w:val="0"/>
        </w:rPr>
        <w:t xml:space="preserve">a breakdown of the profit and cost components that comprise the relevant Framework Price; </w:t>
      </w:r>
      <w:r w:rsidDel="00000000" w:rsidR="00000000" w:rsidRPr="00000000">
        <w:rPr>
          <w:rFonts w:ascii="Arial" w:cs="Arial" w:eastAsia="Arial" w:hAnsi="Arial"/>
          <w:b w:val="1"/>
          <w:color w:val="000000"/>
          <w:rtl w:val="0"/>
        </w:rPr>
        <w:t xml:space="preserve">    </w:t>
      </w:r>
      <w:r w:rsidDel="00000000" w:rsidR="00000000" w:rsidRPr="00000000">
        <w:rPr>
          <w:rtl w:val="0"/>
        </w:rPr>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jc w:val="both"/>
        <w:rPr>
          <w:rFonts w:ascii="Arial" w:cs="Arial" w:eastAsia="Arial" w:hAnsi="Arial"/>
          <w:color w:val="000000"/>
        </w:rPr>
      </w:pPr>
      <w:r w:rsidDel="00000000" w:rsidR="00000000" w:rsidRPr="00000000">
        <w:rPr>
          <w:rFonts w:ascii="Arial" w:cs="Arial" w:eastAsia="Arial" w:hAnsi="Arial"/>
          <w:color w:val="000000"/>
          <w:rtl w:val="0"/>
        </w:rPr>
        <w:t xml:space="preserve">details of the movement in the different identified cost components of the relevant Framework Price;</w:t>
      </w:r>
    </w:p>
    <w:p w:rsidR="00000000" w:rsidDel="00000000" w:rsidP="00000000" w:rsidRDefault="00000000" w:rsidRPr="00000000" w14:paraId="0000001E">
      <w:pPr>
        <w:numPr>
          <w:ilvl w:val="3"/>
          <w:numId w:val="1"/>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jc w:val="both"/>
        <w:rPr>
          <w:rFonts w:ascii="Arial" w:cs="Arial" w:eastAsia="Arial" w:hAnsi="Arial"/>
          <w:color w:val="000000"/>
        </w:rPr>
      </w:pPr>
      <w:r w:rsidDel="00000000" w:rsidR="00000000" w:rsidRPr="00000000">
        <w:rPr>
          <w:rFonts w:ascii="Arial" w:cs="Arial" w:eastAsia="Arial" w:hAnsi="Arial"/>
          <w:color w:val="000000"/>
          <w:rtl w:val="0"/>
        </w:rPr>
        <w:t xml:space="preserve">reasons for the movement in the different identified cost components of the relevant Framework Price;</w:t>
      </w:r>
    </w:p>
    <w:p w:rsidR="00000000" w:rsidDel="00000000" w:rsidP="00000000" w:rsidRDefault="00000000" w:rsidRPr="00000000" w14:paraId="0000001F">
      <w:pPr>
        <w:numPr>
          <w:ilvl w:val="3"/>
          <w:numId w:val="1"/>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jc w:val="both"/>
        <w:rPr>
          <w:rFonts w:ascii="Arial" w:cs="Arial" w:eastAsia="Arial" w:hAnsi="Arial"/>
          <w:color w:val="000000"/>
        </w:rPr>
      </w:pPr>
      <w:r w:rsidDel="00000000" w:rsidR="00000000" w:rsidRPr="00000000">
        <w:rPr>
          <w:rFonts w:ascii="Arial" w:cs="Arial" w:eastAsia="Arial" w:hAnsi="Arial"/>
          <w:color w:val="000000"/>
          <w:rtl w:val="0"/>
        </w:rPr>
        <w:t xml:space="preserve">evidence that the Supplier has attempted to mitigate against the increase in the relevant cost components; and</w:t>
      </w:r>
    </w:p>
    <w:p w:rsidR="00000000" w:rsidDel="00000000" w:rsidP="00000000" w:rsidRDefault="00000000" w:rsidRPr="00000000" w14:paraId="00000020">
      <w:pPr>
        <w:numPr>
          <w:ilvl w:val="3"/>
          <w:numId w:val="1"/>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jc w:val="both"/>
        <w:rPr>
          <w:rFonts w:ascii="Arial" w:cs="Arial" w:eastAsia="Arial" w:hAnsi="Arial"/>
          <w:color w:val="000000"/>
        </w:rPr>
      </w:pPr>
      <w:r w:rsidDel="00000000" w:rsidR="00000000" w:rsidRPr="00000000">
        <w:rPr>
          <w:rFonts w:ascii="Arial" w:cs="Arial" w:eastAsia="Arial" w:hAnsi="Arial"/>
          <w:color w:val="000000"/>
          <w:rtl w:val="0"/>
        </w:rPr>
        <w:t xml:space="preserve">evidence that the Supplier’s profit component of the relevant  Framework Price is no greater than that applying to Framework Prices using the same pricing mechanism as at the Contract Commencement Date.</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1985"/>
          <w:tab w:val="left" w:pos="2127"/>
        </w:tabs>
        <w:spacing w:after="120" w:before="120" w:line="240" w:lineRule="auto"/>
        <w:ind w:hanging="1701"/>
        <w:jc w:val="both"/>
        <w:rPr>
          <w:rFonts w:ascii="Arial" w:cs="Arial" w:eastAsia="Arial" w:hAnsi="Arial"/>
          <w:color w:val="000000"/>
        </w:rPr>
      </w:pPr>
      <w:r w:rsidDel="00000000" w:rsidR="00000000" w:rsidRPr="00000000">
        <w:rPr>
          <w:rFonts w:ascii="Arial" w:cs="Arial" w:eastAsia="Arial" w:hAnsi="Arial"/>
          <w:b w:val="1"/>
          <w:color w:val="000000"/>
          <w:rtl w:val="0"/>
        </w:rPr>
        <w:t xml:space="preserve">[</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color w:val="000000"/>
        </w:rPr>
      </w:pPr>
      <w:r w:rsidDel="00000000" w:rsidR="00000000" w:rsidRPr="00000000">
        <w:rPr>
          <w:rFonts w:ascii="Arial" w:cs="Arial" w:eastAsia="Arial" w:hAnsi="Arial"/>
          <w:color w:val="000000"/>
          <w:rtl w:val="0"/>
        </w:rPr>
        <w:t xml:space="preserve">CCS shall consider each request for a price increase.  CCS may grant Approval to an increase at its sole discretion.</w:t>
      </w:r>
      <w:r w:rsidDel="00000000" w:rsidR="00000000" w:rsidRPr="00000000">
        <w:rPr>
          <w:rtl w:val="0"/>
        </w:rPr>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color w:val="000000"/>
        </w:rPr>
      </w:pPr>
      <w:r w:rsidDel="00000000" w:rsidR="00000000" w:rsidRPr="00000000">
        <w:rPr>
          <w:rFonts w:ascii="Arial" w:cs="Arial" w:eastAsia="Arial" w:hAnsi="Arial"/>
          <w:color w:val="000000"/>
          <w:rtl w:val="0"/>
        </w:rPr>
        <w:t xml:space="preserve">Where CCS approves an increase then it will be implemented from the first (1st) Working Day following the relevant Review Date or such later date as CCS may determine at its sole discretion and Annex 1 shall be updated accordingly.</w:t>
      </w:r>
      <w:r w:rsidDel="00000000" w:rsidR="00000000" w:rsidRPr="00000000">
        <w:rPr>
          <w:rtl w:val="0"/>
        </w:rPr>
      </w:r>
    </w:p>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rPr>
      </w:pPr>
      <w:r w:rsidDel="00000000" w:rsidR="00000000" w:rsidRPr="00000000">
        <w:rPr>
          <w:rFonts w:ascii="Arial" w:cs="Arial" w:eastAsia="Arial" w:hAnsi="Arial"/>
          <w:b w:val="1"/>
          <w:color w:val="000000"/>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color w:val="000000"/>
        </w:rPr>
      </w:pPr>
      <w:r w:rsidDel="00000000" w:rsidR="00000000" w:rsidRPr="00000000">
        <w:rPr>
          <w:rFonts w:ascii="Arial" w:cs="Arial" w:eastAsia="Arial" w:hAnsi="Arial"/>
          <w:color w:val="000000"/>
          <w:rtl w:val="0"/>
        </w:rPr>
        <w:t xml:space="preserve">The Framework Prices can also be varied (and Annex 1 will be updated accordingly) due to:</w:t>
      </w:r>
      <w:r w:rsidDel="00000000" w:rsidR="00000000" w:rsidRPr="00000000">
        <w:rPr>
          <w:rtl w:val="0"/>
        </w:rPr>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rPr>
      </w:pPr>
      <w:r w:rsidDel="00000000" w:rsidR="00000000" w:rsidRPr="00000000">
        <w:rPr>
          <w:rFonts w:ascii="Arial" w:cs="Arial" w:eastAsia="Arial" w:hAnsi="Arial"/>
          <w:color w:val="000000"/>
          <w:rtl w:val="0"/>
        </w:rPr>
        <w:t xml:space="preserve">a Specific Change in Law in accordance with Clause 24;</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rPr>
      </w:pPr>
      <w:r w:rsidDel="00000000" w:rsidR="00000000" w:rsidRPr="00000000">
        <w:rPr>
          <w:rFonts w:ascii="Arial" w:cs="Arial" w:eastAsia="Arial" w:hAnsi="Arial"/>
          <w:color w:val="000000"/>
          <w:rtl w:val="0"/>
        </w:rPr>
        <w:t xml:space="preserve">a review in accordance with insurance requirements in Clause 13; </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rPr>
      </w:pPr>
      <w:r w:rsidDel="00000000" w:rsidR="00000000" w:rsidRPr="00000000">
        <w:rPr>
          <w:rFonts w:ascii="Arial" w:cs="Arial" w:eastAsia="Arial" w:hAnsi="Arial"/>
          <w:color w:val="000000"/>
          <w:rtl w:val="0"/>
        </w:rPr>
        <w:t xml:space="preserve">if there is no Benchmarking Schedule:: a benchmarking review in accordance with Call Off Schedule 16 (Benchmarking)</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rPr>
      </w:pPr>
      <w:r w:rsidDel="00000000" w:rsidR="00000000" w:rsidRPr="00000000">
        <w:rPr>
          <w:rFonts w:ascii="Arial" w:cs="Arial" w:eastAsia="Arial" w:hAnsi="Arial"/>
          <w:color w:val="000000"/>
          <w:rtl w:val="0"/>
        </w:rPr>
        <w:t xml:space="preserve">a request from the Supplier, which it can make at any time, to decrease the Framework Prices</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1985"/>
          <w:tab w:val="left" w:pos="2127"/>
        </w:tabs>
        <w:spacing w:after="120" w:before="120" w:line="240" w:lineRule="auto"/>
        <w:ind w:left="99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2B">
      <w:pPr>
        <w:rPr>
          <w:rFonts w:ascii="Arial" w:cs="Arial" w:eastAsia="Arial" w:hAnsi="Arial"/>
          <w:b w:val="1"/>
          <w:sz w:val="36"/>
          <w:szCs w:val="36"/>
        </w:rPr>
      </w:pPr>
      <w:bookmarkStart w:colFirst="0" w:colLast="0" w:name="_heading=h.tyjcwt" w:id="5"/>
      <w:bookmarkEnd w:id="5"/>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Table 1: Time and Materials</w:t>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its Sub-Contractor) shall not be entitled to include any uplift for risks or contingencies within its day rates.</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rPr>
      </w:pPr>
      <w:r w:rsidDel="00000000" w:rsidR="00000000" w:rsidRPr="00000000">
        <w:rPr>
          <w:rFonts w:ascii="Arial" w:cs="Arial" w:eastAsia="Arial" w:hAnsi="Arial"/>
          <w:sz w:val="24"/>
          <w:szCs w:val="24"/>
          <w:rtl w:val="0"/>
        </w:rPr>
        <w:t xml:space="preserve">Travel Costs and Expenses relating to the provision of Deliverables shall be agreed outside of the Framework Rates. For all References, please see the below link to Workbook 1.</w:t>
      </w:r>
      <w:r w:rsidDel="00000000" w:rsidR="00000000" w:rsidRPr="00000000">
        <w:rPr>
          <w:rtl w:val="0"/>
        </w:rPr>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rPr>
      </w:pPr>
      <w:r w:rsidDel="00000000" w:rsidR="00000000" w:rsidRPr="00000000">
        <w:rPr>
          <w:rtl w:val="0"/>
        </w:rPr>
      </w:r>
    </w:p>
    <w:tbl>
      <w:tblPr>
        <w:tblStyle w:val="Table1"/>
        <w:tblW w:w="6600.0" w:type="dxa"/>
        <w:jc w:val="left"/>
        <w:tblInd w:w="100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30"/>
        <w:gridCol w:w="5070"/>
        <w:tblGridChange w:id="0">
          <w:tblGrid>
            <w:gridCol w:w="1530"/>
            <w:gridCol w:w="5070"/>
          </w:tblGrid>
        </w:tblGridChange>
      </w:tblGrid>
      <w:tr>
        <w:tc>
          <w:tcPr>
            <w:shd w:fill="bfbfbf" w:val="clear"/>
            <w:tcMar>
              <w:top w:w="100.0" w:type="dxa"/>
              <w:left w:w="100.0" w:type="dxa"/>
              <w:bottom w:w="100.0" w:type="dxa"/>
              <w:right w:w="100.0" w:type="dxa"/>
            </w:tcMar>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Number in Workbook</w:t>
            </w:r>
          </w:p>
        </w:tc>
        <w:tc>
          <w:tcPr>
            <w:shd w:fill="cccccc" w:val="clear"/>
            <w:tcMar>
              <w:top w:w="100.0" w:type="dxa"/>
              <w:left w:w="100.0" w:type="dxa"/>
              <w:bottom w:w="100.0" w:type="dxa"/>
              <w:right w:w="100.0" w:type="dxa"/>
            </w:tcMar>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Lines</w:t>
            </w:r>
          </w:p>
        </w:tc>
      </w:tr>
      <w:tr>
        <w:tc>
          <w:tcPr>
            <w:shd w:fill="auto" w:val="clear"/>
            <w:tcMar>
              <w:top w:w="100.0" w:type="dxa"/>
              <w:left w:w="100.0" w:type="dxa"/>
              <w:bottom w:w="100.0" w:type="dxa"/>
              <w:right w:w="100.0" w:type="dxa"/>
            </w:tcMar>
          </w:tcPr>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w:t>
            </w:r>
          </w:p>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1</w:t>
            </w:r>
          </w:p>
        </w:tc>
        <w:tc>
          <w:tcPr>
            <w:shd w:fill="auto" w:val="clear"/>
            <w:tcMar>
              <w:top w:w="100.0" w:type="dxa"/>
              <w:left w:w="100.0" w:type="dxa"/>
              <w:bottom w:w="100.0" w:type="dxa"/>
              <w:right w:w="100.0" w:type="dxa"/>
            </w:tcMar>
          </w:tcPr>
          <w:p w:rsidR="00000000" w:rsidDel="00000000" w:rsidP="00000000" w:rsidRDefault="00000000" w:rsidRPr="00000000" w14:paraId="00000034">
            <w:pPr>
              <w:widowControl w:val="0"/>
              <w:spacing w:after="0" w:before="24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Day rates for services</w:t>
            </w:r>
          </w:p>
        </w:tc>
      </w:tr>
      <w:tr>
        <w:tc>
          <w:tcPr>
            <w:shd w:fill="auto" w:val="clear"/>
            <w:tcMar>
              <w:top w:w="100.0" w:type="dxa"/>
              <w:left w:w="100.0" w:type="dxa"/>
              <w:bottom w:w="100.0" w:type="dxa"/>
              <w:right w:w="100.0" w:type="dxa"/>
            </w:tcMar>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2</w:t>
            </w:r>
          </w:p>
        </w:tc>
        <w:tc>
          <w:tcPr>
            <w:shd w:fill="auto" w:val="clear"/>
            <w:tcMar>
              <w:top w:w="100.0" w:type="dxa"/>
              <w:left w:w="100.0" w:type="dxa"/>
              <w:bottom w:w="100.0" w:type="dxa"/>
              <w:right w:w="100.0" w:type="dxa"/>
            </w:tcMar>
          </w:tcPr>
          <w:p w:rsidR="00000000" w:rsidDel="00000000" w:rsidP="00000000" w:rsidRDefault="00000000" w:rsidRPr="00000000" w14:paraId="00000037">
            <w:pPr>
              <w:widowControl w:val="0"/>
              <w:spacing w:after="0" w:before="24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Acquisition by Leasehold/Licence - Buyer is the Tenant</w:t>
            </w:r>
          </w:p>
        </w:tc>
      </w:tr>
      <w:tr>
        <w:tc>
          <w:tcPr>
            <w:shd w:fill="auto" w:val="clear"/>
            <w:tcMar>
              <w:top w:w="100.0" w:type="dxa"/>
              <w:left w:w="100.0" w:type="dxa"/>
              <w:bottom w:w="100.0" w:type="dxa"/>
              <w:right w:w="100.0" w:type="dxa"/>
            </w:tcMar>
          </w:tcPr>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3</w:t>
            </w:r>
          </w:p>
        </w:tc>
        <w:tc>
          <w:tcPr>
            <w:shd w:fill="auto" w:val="clear"/>
            <w:tcMar>
              <w:top w:w="100.0" w:type="dxa"/>
              <w:left w:w="100.0" w:type="dxa"/>
              <w:bottom w:w="100.0" w:type="dxa"/>
              <w:right w:w="100.0" w:type="dxa"/>
            </w:tcMar>
          </w:tcPr>
          <w:p w:rsidR="00000000" w:rsidDel="00000000" w:rsidP="00000000" w:rsidRDefault="00000000" w:rsidRPr="00000000" w14:paraId="0000003A">
            <w:pPr>
              <w:widowControl w:val="0"/>
              <w:spacing w:after="0" w:before="24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Acquisition of Freehold property - Buyer is the purchaser</w:t>
            </w:r>
          </w:p>
        </w:tc>
      </w:tr>
      <w:tr>
        <w:tc>
          <w:tcPr>
            <w:shd w:fill="auto" w:val="clear"/>
            <w:tcMar>
              <w:top w:w="100.0" w:type="dxa"/>
              <w:left w:w="100.0" w:type="dxa"/>
              <w:bottom w:w="100.0" w:type="dxa"/>
              <w:right w:w="100.0" w:type="dxa"/>
            </w:tcMar>
          </w:tcPr>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C">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4</w:t>
            </w:r>
          </w:p>
        </w:tc>
        <w:tc>
          <w:tcPr>
            <w:shd w:fill="auto" w:val="clear"/>
            <w:tcMar>
              <w:top w:w="100.0" w:type="dxa"/>
              <w:left w:w="100.0" w:type="dxa"/>
              <w:bottom w:w="100.0" w:type="dxa"/>
              <w:right w:w="100.0" w:type="dxa"/>
            </w:tcMar>
          </w:tcPr>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Letting/subletting - Buyer is the Landlord  </w:t>
            </w:r>
          </w:p>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w:t>
            </w:r>
          </w:p>
        </w:tc>
      </w:tr>
      <w:tr>
        <w:tc>
          <w:tcPr>
            <w:shd w:fill="auto" w:val="clear"/>
            <w:tcMar>
              <w:top w:w="100.0" w:type="dxa"/>
              <w:left w:w="100.0" w:type="dxa"/>
              <w:bottom w:w="100.0" w:type="dxa"/>
              <w:right w:w="100.0" w:type="dxa"/>
            </w:tcMar>
          </w:tcPr>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5</w:t>
            </w:r>
          </w:p>
        </w:tc>
        <w:tc>
          <w:tcPr>
            <w:shd w:fill="auto" w:val="clear"/>
            <w:tcMar>
              <w:top w:w="100.0" w:type="dxa"/>
              <w:left w:w="100.0" w:type="dxa"/>
              <w:bottom w:w="100.0" w:type="dxa"/>
              <w:right w:w="100.0" w:type="dxa"/>
            </w:tcMar>
          </w:tcPr>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Disposal freehold - Buyer is the holder</w:t>
            </w:r>
          </w:p>
          <w:p w:rsidR="00000000" w:rsidDel="00000000" w:rsidP="00000000" w:rsidRDefault="00000000" w:rsidRPr="00000000" w14:paraId="00000044">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w:t>
            </w:r>
          </w:p>
        </w:tc>
      </w:tr>
      <w:tr>
        <w:tc>
          <w:tcPr>
            <w:shd w:fill="auto" w:val="clear"/>
            <w:tcMar>
              <w:top w:w="100.0" w:type="dxa"/>
              <w:left w:w="100.0" w:type="dxa"/>
              <w:bottom w:w="100.0" w:type="dxa"/>
              <w:right w:w="100.0" w:type="dxa"/>
            </w:tcMar>
          </w:tcPr>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6</w:t>
            </w:r>
          </w:p>
        </w:tc>
        <w:tc>
          <w:tcPr>
            <w:shd w:fill="auto" w:val="clear"/>
            <w:tcMar>
              <w:top w:w="100.0" w:type="dxa"/>
              <w:left w:w="100.0" w:type="dxa"/>
              <w:bottom w:w="100.0" w:type="dxa"/>
              <w:right w:w="100.0" w:type="dxa"/>
            </w:tcMar>
          </w:tcPr>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Disposal leasehold - Buyer is the holder</w:t>
            </w:r>
          </w:p>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tl w:val="0"/>
              </w:rPr>
            </w:r>
          </w:p>
        </w:tc>
      </w:tr>
      <w:tr>
        <w:trPr>
          <w:trHeight w:val="459" w:hRule="atLeast"/>
        </w:trPr>
        <w:tc>
          <w:tcPr>
            <w:shd w:fill="auto" w:val="clear"/>
            <w:tcMar>
              <w:top w:w="100.0" w:type="dxa"/>
              <w:left w:w="100.0" w:type="dxa"/>
              <w:bottom w:w="100.0" w:type="dxa"/>
              <w:right w:w="100.0" w:type="dxa"/>
            </w:tcMar>
          </w:tcPr>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7</w:t>
            </w:r>
          </w:p>
        </w:tc>
        <w:tc>
          <w:tcPr>
            <w:shd w:fill="auto" w:val="clear"/>
            <w:tcMar>
              <w:top w:w="100.0" w:type="dxa"/>
              <w:left w:w="100.0" w:type="dxa"/>
              <w:bottom w:w="100.0" w:type="dxa"/>
              <w:right w:w="100.0" w:type="dxa"/>
            </w:tcMar>
          </w:tcPr>
          <w:p w:rsidR="00000000" w:rsidDel="00000000" w:rsidP="00000000" w:rsidRDefault="00000000" w:rsidRPr="00000000" w14:paraId="0000004C">
            <w:pPr>
              <w:widowControl w:val="0"/>
              <w:spacing w:after="0" w:before="24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Rent review - Buyer is the Tenant</w:t>
            </w:r>
          </w:p>
        </w:tc>
      </w:tr>
      <w:tr>
        <w:tc>
          <w:tcPr>
            <w:shd w:fill="auto" w:val="clear"/>
            <w:tcMar>
              <w:top w:w="100.0" w:type="dxa"/>
              <w:left w:w="100.0" w:type="dxa"/>
              <w:bottom w:w="100.0" w:type="dxa"/>
              <w:right w:w="100.0" w:type="dxa"/>
            </w:tcMar>
          </w:tcPr>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8</w:t>
            </w:r>
          </w:p>
        </w:tc>
        <w:tc>
          <w:tcPr>
            <w:shd w:fill="auto" w:val="clear"/>
            <w:tcMar>
              <w:top w:w="100.0" w:type="dxa"/>
              <w:left w:w="100.0" w:type="dxa"/>
              <w:bottom w:w="100.0" w:type="dxa"/>
              <w:right w:w="100.0" w:type="dxa"/>
            </w:tcMar>
          </w:tcPr>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Rent review - Buyer is the Landlord</w:t>
            </w:r>
          </w:p>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tl w:val="0"/>
              </w:rPr>
            </w:r>
          </w:p>
        </w:tc>
      </w:tr>
      <w:tr>
        <w:tc>
          <w:tcPr>
            <w:shd w:fill="auto" w:val="clear"/>
            <w:tcMar>
              <w:top w:w="100.0" w:type="dxa"/>
              <w:left w:w="100.0" w:type="dxa"/>
              <w:bottom w:w="100.0" w:type="dxa"/>
              <w:right w:w="100.0" w:type="dxa"/>
            </w:tcMar>
          </w:tcPr>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9</w:t>
            </w:r>
          </w:p>
        </w:tc>
        <w:tc>
          <w:tcPr>
            <w:shd w:fill="auto" w:val="clear"/>
            <w:tcMar>
              <w:top w:w="100.0" w:type="dxa"/>
              <w:left w:w="100.0" w:type="dxa"/>
              <w:bottom w:w="100.0" w:type="dxa"/>
              <w:right w:w="100.0" w:type="dxa"/>
            </w:tcMar>
          </w:tcPr>
          <w:p w:rsidR="00000000" w:rsidDel="00000000" w:rsidP="00000000" w:rsidRDefault="00000000" w:rsidRPr="00000000" w14:paraId="00000054">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55">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Lease renewal - Buyer is the Tenant</w:t>
            </w:r>
          </w:p>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tl w:val="0"/>
              </w:rPr>
            </w:r>
          </w:p>
        </w:tc>
      </w:tr>
      <w:tr>
        <w:tc>
          <w:tcPr>
            <w:shd w:fill="auto" w:val="clear"/>
            <w:tcMar>
              <w:top w:w="100.0" w:type="dxa"/>
              <w:left w:w="100.0" w:type="dxa"/>
              <w:bottom w:w="100.0" w:type="dxa"/>
              <w:right w:w="100.0" w:type="dxa"/>
            </w:tcMar>
          </w:tcPr>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10</w:t>
            </w:r>
          </w:p>
        </w:tc>
        <w:tc>
          <w:tcPr>
            <w:shd w:fill="auto" w:val="clear"/>
            <w:tcMar>
              <w:top w:w="100.0" w:type="dxa"/>
              <w:left w:w="100.0" w:type="dxa"/>
              <w:bottom w:w="100.0" w:type="dxa"/>
              <w:right w:w="100.0" w:type="dxa"/>
            </w:tcMar>
          </w:tcPr>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Lease renewal - Buyer is the Landlord</w:t>
            </w:r>
          </w:p>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tl w:val="0"/>
              </w:rPr>
            </w:r>
          </w:p>
        </w:tc>
      </w:tr>
      <w:tr>
        <w:tc>
          <w:tcPr>
            <w:shd w:fill="auto" w:val="clear"/>
            <w:tcMar>
              <w:top w:w="100.0" w:type="dxa"/>
              <w:left w:w="100.0" w:type="dxa"/>
              <w:bottom w:w="100.0" w:type="dxa"/>
              <w:right w:w="100.0" w:type="dxa"/>
            </w:tcMar>
          </w:tcPr>
          <w:p w:rsidR="00000000" w:rsidDel="00000000" w:rsidP="00000000" w:rsidRDefault="00000000" w:rsidRPr="00000000" w14:paraId="0000005C">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11</w:t>
            </w:r>
          </w:p>
        </w:tc>
        <w:tc>
          <w:tcPr>
            <w:shd w:fill="auto" w:val="clear"/>
            <w:tcMar>
              <w:top w:w="100.0" w:type="dxa"/>
              <w:left w:w="100.0" w:type="dxa"/>
              <w:bottom w:w="100.0" w:type="dxa"/>
              <w:right w:w="100.0" w:type="dxa"/>
            </w:tcMar>
          </w:tcPr>
          <w:p w:rsidR="00000000" w:rsidDel="00000000" w:rsidP="00000000" w:rsidRDefault="00000000" w:rsidRPr="00000000" w14:paraId="0000005E">
            <w:pPr>
              <w:widowControl w:val="0"/>
              <w:spacing w:after="0" w:before="24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Dilapidations - Stage 1 Report and schedules - Buyer is the Tenant or Landlord</w:t>
            </w:r>
          </w:p>
        </w:tc>
      </w:tr>
      <w:tr>
        <w:tc>
          <w:tcPr>
            <w:shd w:fill="auto" w:val="clear"/>
            <w:tcMar>
              <w:top w:w="100.0" w:type="dxa"/>
              <w:left w:w="100.0" w:type="dxa"/>
              <w:bottom w:w="100.0" w:type="dxa"/>
              <w:right w:w="100.0" w:type="dxa"/>
            </w:tcMar>
          </w:tcPr>
          <w:p w:rsidR="00000000" w:rsidDel="00000000" w:rsidP="00000000" w:rsidRDefault="00000000" w:rsidRPr="00000000" w14:paraId="0000005F">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w:t>
            </w:r>
          </w:p>
          <w:p w:rsidR="00000000" w:rsidDel="00000000" w:rsidP="00000000" w:rsidRDefault="00000000" w:rsidRPr="00000000" w14:paraId="00000060">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12</w:t>
            </w:r>
          </w:p>
        </w:tc>
        <w:tc>
          <w:tcPr>
            <w:shd w:fill="auto" w:val="clear"/>
            <w:tcMar>
              <w:top w:w="100.0" w:type="dxa"/>
              <w:left w:w="100.0" w:type="dxa"/>
              <w:bottom w:w="100.0" w:type="dxa"/>
              <w:right w:w="100.0" w:type="dxa"/>
            </w:tcMar>
          </w:tcPr>
          <w:p w:rsidR="00000000" w:rsidDel="00000000" w:rsidP="00000000" w:rsidRDefault="00000000" w:rsidRPr="00000000" w14:paraId="00000061">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Dilapidations - Stage 2 - Buyer is the Tenant, negotiating reduction</w:t>
            </w:r>
          </w:p>
          <w:p w:rsidR="00000000" w:rsidDel="00000000" w:rsidP="00000000" w:rsidRDefault="00000000" w:rsidRPr="00000000" w14:paraId="00000062">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tl w:val="0"/>
              </w:rPr>
            </w:r>
          </w:p>
        </w:tc>
      </w:tr>
      <w:tr>
        <w:tc>
          <w:tcPr>
            <w:shd w:fill="auto" w:val="clear"/>
            <w:tcMar>
              <w:top w:w="100.0" w:type="dxa"/>
              <w:left w:w="100.0" w:type="dxa"/>
              <w:bottom w:w="100.0" w:type="dxa"/>
              <w:right w:w="100.0" w:type="dxa"/>
            </w:tcMar>
          </w:tcPr>
          <w:p w:rsidR="00000000" w:rsidDel="00000000" w:rsidP="00000000" w:rsidRDefault="00000000" w:rsidRPr="00000000" w14:paraId="00000063">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4">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13</w:t>
            </w:r>
          </w:p>
        </w:tc>
        <w:tc>
          <w:tcPr>
            <w:shd w:fill="auto" w:val="clear"/>
            <w:tcMar>
              <w:top w:w="100.0" w:type="dxa"/>
              <w:left w:w="100.0" w:type="dxa"/>
              <w:bottom w:w="100.0" w:type="dxa"/>
              <w:right w:w="100.0" w:type="dxa"/>
            </w:tcMar>
          </w:tcPr>
          <w:p w:rsidR="00000000" w:rsidDel="00000000" w:rsidP="00000000" w:rsidRDefault="00000000" w:rsidRPr="00000000" w14:paraId="00000065">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Dilapidations - Stage 2 - Buyer is the Landlord, negotiating settlement</w:t>
            </w:r>
          </w:p>
          <w:p w:rsidR="00000000" w:rsidDel="00000000" w:rsidP="00000000" w:rsidRDefault="00000000" w:rsidRPr="00000000" w14:paraId="00000066">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tl w:val="0"/>
              </w:rPr>
            </w:r>
          </w:p>
        </w:tc>
      </w:tr>
      <w:tr>
        <w:tc>
          <w:tcPr>
            <w:shd w:fill="auto" w:val="clear"/>
            <w:tcMar>
              <w:top w:w="100.0" w:type="dxa"/>
              <w:left w:w="100.0" w:type="dxa"/>
              <w:bottom w:w="100.0" w:type="dxa"/>
              <w:right w:w="100.0" w:type="dxa"/>
            </w:tcMar>
          </w:tcPr>
          <w:p w:rsidR="00000000" w:rsidDel="00000000" w:rsidP="00000000" w:rsidRDefault="00000000" w:rsidRPr="00000000" w14:paraId="00000067">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8">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14</w:t>
            </w:r>
          </w:p>
        </w:tc>
        <w:tc>
          <w:tcPr>
            <w:shd w:fill="auto" w:val="clear"/>
            <w:tcMar>
              <w:top w:w="100.0" w:type="dxa"/>
              <w:left w:w="100.0" w:type="dxa"/>
              <w:bottom w:w="100.0" w:type="dxa"/>
              <w:right w:w="100.0" w:type="dxa"/>
            </w:tcMar>
          </w:tcPr>
          <w:p w:rsidR="00000000" w:rsidDel="00000000" w:rsidP="00000000" w:rsidRDefault="00000000" w:rsidRPr="00000000" w14:paraId="00000069">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A">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Valuations (individual holding)</w:t>
            </w:r>
          </w:p>
          <w:p w:rsidR="00000000" w:rsidDel="00000000" w:rsidP="00000000" w:rsidRDefault="00000000" w:rsidRPr="00000000" w14:paraId="0000006B">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tl w:val="0"/>
              </w:rPr>
            </w:r>
          </w:p>
        </w:tc>
      </w:tr>
      <w:tr>
        <w:tc>
          <w:tcPr>
            <w:shd w:fill="auto" w:val="clear"/>
            <w:tcMar>
              <w:top w:w="100.0" w:type="dxa"/>
              <w:left w:w="100.0" w:type="dxa"/>
              <w:bottom w:w="100.0" w:type="dxa"/>
              <w:right w:w="100.0" w:type="dxa"/>
            </w:tcMar>
          </w:tcPr>
          <w:p w:rsidR="00000000" w:rsidDel="00000000" w:rsidP="00000000" w:rsidRDefault="00000000" w:rsidRPr="00000000" w14:paraId="0000006C">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D">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15</w:t>
            </w:r>
          </w:p>
        </w:tc>
        <w:tc>
          <w:tcPr>
            <w:shd w:fill="auto" w:val="clear"/>
            <w:tcMar>
              <w:top w:w="100.0" w:type="dxa"/>
              <w:left w:w="100.0" w:type="dxa"/>
              <w:bottom w:w="100.0" w:type="dxa"/>
              <w:right w:w="100.0" w:type="dxa"/>
            </w:tcMar>
          </w:tcPr>
          <w:p w:rsidR="00000000" w:rsidDel="00000000" w:rsidP="00000000" w:rsidRDefault="00000000" w:rsidRPr="00000000" w14:paraId="0000006E">
            <w:pPr>
              <w:widowControl w:val="0"/>
              <w:spacing w:after="0" w:before="24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Valuations (Portfolio of holdings)</w:t>
            </w:r>
          </w:p>
        </w:tc>
      </w:tr>
      <w:tr>
        <w:tc>
          <w:tcPr>
            <w:shd w:fill="auto" w:val="clear"/>
            <w:tcMar>
              <w:top w:w="100.0" w:type="dxa"/>
              <w:left w:w="100.0" w:type="dxa"/>
              <w:bottom w:w="100.0" w:type="dxa"/>
              <w:right w:w="100.0" w:type="dxa"/>
            </w:tcMar>
          </w:tcPr>
          <w:p w:rsidR="00000000" w:rsidDel="00000000" w:rsidP="00000000" w:rsidRDefault="00000000" w:rsidRPr="00000000" w14:paraId="0000006F">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70">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16</w:t>
            </w:r>
          </w:p>
        </w:tc>
        <w:tc>
          <w:tcPr>
            <w:shd w:fill="auto" w:val="clear"/>
            <w:tcMar>
              <w:top w:w="100.0" w:type="dxa"/>
              <w:left w:w="100.0" w:type="dxa"/>
              <w:bottom w:w="100.0" w:type="dxa"/>
              <w:right w:w="100.0" w:type="dxa"/>
            </w:tcMar>
          </w:tcPr>
          <w:p w:rsidR="00000000" w:rsidDel="00000000" w:rsidP="00000000" w:rsidRDefault="00000000" w:rsidRPr="00000000" w14:paraId="00000071">
            <w:pPr>
              <w:widowControl w:val="0"/>
              <w:spacing w:after="0" w:before="24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Check, challenge and appeal</w:t>
            </w:r>
          </w:p>
        </w:tc>
      </w:tr>
      <w:tr>
        <w:tc>
          <w:tcPr>
            <w:shd w:fill="auto" w:val="clear"/>
            <w:tcMar>
              <w:top w:w="100.0" w:type="dxa"/>
              <w:left w:w="100.0" w:type="dxa"/>
              <w:bottom w:w="100.0" w:type="dxa"/>
              <w:right w:w="100.0" w:type="dxa"/>
            </w:tcMar>
          </w:tcPr>
          <w:p w:rsidR="00000000" w:rsidDel="00000000" w:rsidP="00000000" w:rsidRDefault="00000000" w:rsidRPr="00000000" w14:paraId="00000072">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73">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17</w:t>
            </w:r>
          </w:p>
        </w:tc>
        <w:tc>
          <w:tcPr>
            <w:shd w:fill="auto" w:val="clear"/>
            <w:tcMar>
              <w:top w:w="100.0" w:type="dxa"/>
              <w:left w:w="100.0" w:type="dxa"/>
              <w:bottom w:w="100.0" w:type="dxa"/>
              <w:right w:w="100.0" w:type="dxa"/>
            </w:tcMar>
          </w:tcPr>
          <w:p w:rsidR="00000000" w:rsidDel="00000000" w:rsidP="00000000" w:rsidRDefault="00000000" w:rsidRPr="00000000" w14:paraId="00000074">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75">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Rating support - Baseline liability </w:t>
            </w:r>
          </w:p>
        </w:tc>
      </w:tr>
      <w:tr>
        <w:tc>
          <w:tcPr>
            <w:shd w:fill="auto" w:val="clear"/>
            <w:tcMar>
              <w:top w:w="100.0" w:type="dxa"/>
              <w:left w:w="100.0" w:type="dxa"/>
              <w:bottom w:w="100.0" w:type="dxa"/>
              <w:right w:w="100.0" w:type="dxa"/>
            </w:tcMar>
          </w:tcPr>
          <w:p w:rsidR="00000000" w:rsidDel="00000000" w:rsidP="00000000" w:rsidRDefault="00000000" w:rsidRPr="00000000" w14:paraId="00000076">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77">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18</w:t>
            </w:r>
          </w:p>
        </w:tc>
        <w:tc>
          <w:tcPr>
            <w:shd w:fill="auto" w:val="clear"/>
            <w:tcMar>
              <w:top w:w="100.0" w:type="dxa"/>
              <w:left w:w="100.0" w:type="dxa"/>
              <w:bottom w:w="100.0" w:type="dxa"/>
              <w:right w:w="100.0" w:type="dxa"/>
            </w:tcMar>
          </w:tcPr>
          <w:p w:rsidR="00000000" w:rsidDel="00000000" w:rsidP="00000000" w:rsidRDefault="00000000" w:rsidRPr="00000000" w14:paraId="00000078">
            <w:pPr>
              <w:widowControl w:val="0"/>
              <w:spacing w:after="0" w:before="24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Rating support - Compiled list appeals </w:t>
            </w:r>
          </w:p>
        </w:tc>
      </w:tr>
      <w:tr>
        <w:tc>
          <w:tcPr>
            <w:shd w:fill="auto" w:val="clear"/>
            <w:tcMar>
              <w:top w:w="100.0" w:type="dxa"/>
              <w:left w:w="100.0" w:type="dxa"/>
              <w:bottom w:w="100.0" w:type="dxa"/>
              <w:right w:w="100.0" w:type="dxa"/>
            </w:tcMar>
          </w:tcPr>
          <w:p w:rsidR="00000000" w:rsidDel="00000000" w:rsidP="00000000" w:rsidRDefault="00000000" w:rsidRPr="00000000" w14:paraId="00000079">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19</w:t>
            </w:r>
          </w:p>
        </w:tc>
        <w:tc>
          <w:tcPr>
            <w:shd w:fill="auto" w:val="clear"/>
            <w:tcMar>
              <w:top w:w="100.0" w:type="dxa"/>
              <w:left w:w="100.0" w:type="dxa"/>
              <w:bottom w:w="100.0" w:type="dxa"/>
              <w:right w:w="100.0" w:type="dxa"/>
            </w:tcMar>
          </w:tcPr>
          <w:p w:rsidR="00000000" w:rsidDel="00000000" w:rsidP="00000000" w:rsidRDefault="00000000" w:rsidRPr="00000000" w14:paraId="0000007A">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7B">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Rating support - Material change appeals </w:t>
            </w:r>
          </w:p>
        </w:tc>
      </w:tr>
      <w:tr>
        <w:tc>
          <w:tcPr>
            <w:shd w:fill="auto" w:val="clear"/>
            <w:tcMar>
              <w:top w:w="100.0" w:type="dxa"/>
              <w:left w:w="100.0" w:type="dxa"/>
              <w:bottom w:w="100.0" w:type="dxa"/>
              <w:right w:w="100.0" w:type="dxa"/>
            </w:tcMar>
          </w:tcPr>
          <w:p w:rsidR="00000000" w:rsidDel="00000000" w:rsidP="00000000" w:rsidRDefault="00000000" w:rsidRPr="00000000" w14:paraId="0000007C">
            <w:pPr>
              <w:widowControl w:val="0"/>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20</w:t>
            </w:r>
          </w:p>
        </w:tc>
        <w:tc>
          <w:tcPr>
            <w:shd w:fill="auto" w:val="clear"/>
            <w:tcMar>
              <w:top w:w="100.0" w:type="dxa"/>
              <w:left w:w="100.0" w:type="dxa"/>
              <w:bottom w:w="100.0" w:type="dxa"/>
              <w:right w:w="100.0" w:type="dxa"/>
            </w:tcMar>
          </w:tcPr>
          <w:p w:rsidR="00000000" w:rsidDel="00000000" w:rsidP="00000000" w:rsidRDefault="00000000" w:rsidRPr="00000000" w14:paraId="0000007D">
            <w:pPr>
              <w:widowControl w:val="0"/>
              <w:spacing w:after="0" w:before="24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Rating support - General administration</w:t>
            </w:r>
          </w:p>
        </w:tc>
      </w:tr>
      <w:tr>
        <w:tc>
          <w:tcPr>
            <w:shd w:fill="auto" w:val="clear"/>
            <w:tcMar>
              <w:top w:w="100.0" w:type="dxa"/>
              <w:left w:w="100.0" w:type="dxa"/>
              <w:bottom w:w="100.0" w:type="dxa"/>
              <w:right w:w="100.0" w:type="dxa"/>
            </w:tcMar>
          </w:tcPr>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7F">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21</w:t>
            </w:r>
          </w:p>
        </w:tc>
        <w:tc>
          <w:tcPr>
            <w:shd w:fill="auto" w:val="clear"/>
            <w:tcMar>
              <w:top w:w="100.0" w:type="dxa"/>
              <w:left w:w="100.0" w:type="dxa"/>
              <w:bottom w:w="100.0" w:type="dxa"/>
              <w:right w:w="100.0" w:type="dxa"/>
            </w:tcMar>
          </w:tcPr>
          <w:p w:rsidR="00000000" w:rsidDel="00000000" w:rsidP="00000000" w:rsidRDefault="00000000" w:rsidRPr="00000000" w14:paraId="00000080">
            <w:pPr>
              <w:widowControl w:val="0"/>
              <w:spacing w:after="0" w:before="24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Rating support - Full payment management</w:t>
            </w:r>
          </w:p>
        </w:tc>
      </w:tr>
      <w:tr>
        <w:tc>
          <w:tcPr>
            <w:shd w:fill="auto" w:val="clear"/>
            <w:tcMar>
              <w:top w:w="100.0" w:type="dxa"/>
              <w:left w:w="100.0" w:type="dxa"/>
              <w:bottom w:w="100.0" w:type="dxa"/>
              <w:right w:w="100.0" w:type="dxa"/>
            </w:tcMar>
          </w:tcPr>
          <w:p w:rsidR="00000000" w:rsidDel="00000000" w:rsidP="00000000" w:rsidRDefault="00000000" w:rsidRPr="00000000" w14:paraId="00000081">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22</w:t>
            </w:r>
          </w:p>
        </w:tc>
        <w:tc>
          <w:tcPr>
            <w:shd w:fill="auto" w:val="clear"/>
            <w:tcMar>
              <w:top w:w="100.0" w:type="dxa"/>
              <w:left w:w="100.0" w:type="dxa"/>
              <w:bottom w:w="100.0" w:type="dxa"/>
              <w:right w:w="100.0" w:type="dxa"/>
            </w:tcMar>
          </w:tcPr>
          <w:p w:rsidR="00000000" w:rsidDel="00000000" w:rsidP="00000000" w:rsidRDefault="00000000" w:rsidRPr="00000000" w14:paraId="00000082">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Rating support - Rates relief</w:t>
            </w:r>
          </w:p>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tl w:val="0"/>
              </w:rPr>
            </w:r>
          </w:p>
        </w:tc>
      </w:tr>
      <w:tr>
        <w:tc>
          <w:tcPr>
            <w:shd w:fill="auto" w:val="clear"/>
            <w:tcMar>
              <w:top w:w="100.0" w:type="dxa"/>
              <w:left w:w="100.0" w:type="dxa"/>
              <w:bottom w:w="100.0" w:type="dxa"/>
              <w:right w:w="100.0" w:type="dxa"/>
            </w:tcMar>
          </w:tcPr>
          <w:p w:rsidR="00000000" w:rsidDel="00000000" w:rsidP="00000000" w:rsidRDefault="00000000" w:rsidRPr="00000000" w14:paraId="00000084">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23</w:t>
            </w:r>
          </w:p>
        </w:tc>
        <w:tc>
          <w:tcPr>
            <w:shd w:fill="auto" w:val="clear"/>
            <w:tcMar>
              <w:top w:w="100.0" w:type="dxa"/>
              <w:left w:w="100.0" w:type="dxa"/>
              <w:bottom w:w="100.0" w:type="dxa"/>
              <w:right w:w="100.0" w:type="dxa"/>
            </w:tcMar>
          </w:tcPr>
          <w:p w:rsidR="00000000" w:rsidDel="00000000" w:rsidP="00000000" w:rsidRDefault="00000000" w:rsidRPr="00000000" w14:paraId="00000085">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Rating support - Rates Audit</w:t>
            </w:r>
          </w:p>
          <w:p w:rsidR="00000000" w:rsidDel="00000000" w:rsidP="00000000" w:rsidRDefault="00000000" w:rsidRPr="00000000" w14:paraId="00000086">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tl w:val="0"/>
              </w:rPr>
            </w:r>
          </w:p>
        </w:tc>
      </w:tr>
      <w:tr>
        <w:tc>
          <w:tcPr>
            <w:shd w:fill="auto" w:val="clear"/>
            <w:tcMar>
              <w:top w:w="100.0" w:type="dxa"/>
              <w:left w:w="100.0" w:type="dxa"/>
              <w:bottom w:w="100.0" w:type="dxa"/>
              <w:right w:w="100.0" w:type="dxa"/>
            </w:tcMar>
          </w:tcPr>
          <w:p w:rsidR="00000000" w:rsidDel="00000000" w:rsidP="00000000" w:rsidRDefault="00000000" w:rsidRPr="00000000" w14:paraId="00000087">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88">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24</w:t>
            </w:r>
          </w:p>
        </w:tc>
        <w:tc>
          <w:tcPr>
            <w:shd w:fill="auto" w:val="clear"/>
            <w:tcMar>
              <w:top w:w="100.0" w:type="dxa"/>
              <w:left w:w="100.0" w:type="dxa"/>
              <w:bottom w:w="100.0" w:type="dxa"/>
              <w:right w:w="100.0" w:type="dxa"/>
            </w:tcMar>
          </w:tcPr>
          <w:p w:rsidR="00000000" w:rsidDel="00000000" w:rsidP="00000000" w:rsidRDefault="00000000" w:rsidRPr="00000000" w14:paraId="00000089">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System - Support operational and strategic Workplace Management</w:t>
            </w:r>
          </w:p>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tl w:val="0"/>
              </w:rPr>
            </w:r>
          </w:p>
        </w:tc>
      </w:tr>
      <w:tr>
        <w:tc>
          <w:tcPr>
            <w:shd w:fill="auto" w:val="clear"/>
            <w:tcMar>
              <w:top w:w="100.0" w:type="dxa"/>
              <w:left w:w="100.0" w:type="dxa"/>
              <w:bottom w:w="100.0" w:type="dxa"/>
              <w:right w:w="100.0" w:type="dxa"/>
            </w:tcMar>
          </w:tcPr>
          <w:p w:rsidR="00000000" w:rsidDel="00000000" w:rsidP="00000000" w:rsidRDefault="00000000" w:rsidRPr="00000000" w14:paraId="0000008B">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8C">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25</w:t>
            </w:r>
          </w:p>
        </w:tc>
        <w:tc>
          <w:tcPr>
            <w:shd w:fill="auto" w:val="clear"/>
            <w:tcMar>
              <w:top w:w="100.0" w:type="dxa"/>
              <w:left w:w="100.0" w:type="dxa"/>
              <w:bottom w:w="100.0" w:type="dxa"/>
              <w:right w:w="100.0" w:type="dxa"/>
            </w:tcMar>
          </w:tcPr>
          <w:p w:rsidR="00000000" w:rsidDel="00000000" w:rsidP="00000000" w:rsidRDefault="00000000" w:rsidRPr="00000000" w14:paraId="0000008D">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Helpdesk – The Supplier shall provide a single point of contact for Service Users</w:t>
            </w:r>
          </w:p>
          <w:p w:rsidR="00000000" w:rsidDel="00000000" w:rsidP="00000000" w:rsidRDefault="00000000" w:rsidRPr="00000000" w14:paraId="0000008E">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tl w:val="0"/>
              </w:rPr>
            </w:r>
          </w:p>
        </w:tc>
      </w:tr>
      <w:tr>
        <w:tc>
          <w:tcPr>
            <w:shd w:fill="auto" w:val="clear"/>
            <w:tcMar>
              <w:top w:w="100.0" w:type="dxa"/>
              <w:left w:w="100.0" w:type="dxa"/>
              <w:bottom w:w="100.0" w:type="dxa"/>
              <w:right w:w="100.0" w:type="dxa"/>
            </w:tcMar>
          </w:tcPr>
          <w:p w:rsidR="00000000" w:rsidDel="00000000" w:rsidP="00000000" w:rsidRDefault="00000000" w:rsidRPr="00000000" w14:paraId="0000008F">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26</w:t>
            </w:r>
          </w:p>
        </w:tc>
        <w:tc>
          <w:tcPr>
            <w:shd w:fill="auto" w:val="clear"/>
            <w:tcMar>
              <w:top w:w="100.0" w:type="dxa"/>
              <w:left w:w="100.0" w:type="dxa"/>
              <w:bottom w:w="100.0" w:type="dxa"/>
              <w:right w:w="100.0" w:type="dxa"/>
            </w:tcMar>
          </w:tcPr>
          <w:p w:rsidR="00000000" w:rsidDel="00000000" w:rsidP="00000000" w:rsidRDefault="00000000" w:rsidRPr="00000000" w14:paraId="00000090">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Performance Management, Analysis and Reporting</w:t>
            </w:r>
          </w:p>
          <w:p w:rsidR="00000000" w:rsidDel="00000000" w:rsidP="00000000" w:rsidRDefault="00000000" w:rsidRPr="00000000" w14:paraId="00000091">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tl w:val="0"/>
              </w:rPr>
            </w:r>
          </w:p>
        </w:tc>
      </w:tr>
      <w:tr>
        <w:tc>
          <w:tcPr>
            <w:shd w:fill="auto" w:val="clear"/>
            <w:tcMar>
              <w:top w:w="100.0" w:type="dxa"/>
              <w:left w:w="100.0" w:type="dxa"/>
              <w:bottom w:w="100.0" w:type="dxa"/>
              <w:right w:w="100.0" w:type="dxa"/>
            </w:tcMar>
          </w:tcPr>
          <w:p w:rsidR="00000000" w:rsidDel="00000000" w:rsidP="00000000" w:rsidRDefault="00000000" w:rsidRPr="00000000" w14:paraId="00000092">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27</w:t>
            </w:r>
          </w:p>
        </w:tc>
        <w:tc>
          <w:tcPr>
            <w:shd w:fill="auto" w:val="clear"/>
            <w:tcMar>
              <w:top w:w="100.0" w:type="dxa"/>
              <w:left w:w="100.0" w:type="dxa"/>
              <w:bottom w:w="100.0" w:type="dxa"/>
              <w:right w:w="100.0" w:type="dxa"/>
            </w:tcMar>
          </w:tcPr>
          <w:p w:rsidR="00000000" w:rsidDel="00000000" w:rsidP="00000000" w:rsidRDefault="00000000" w:rsidRPr="00000000" w14:paraId="00000093">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Innovation, Technology &amp; Data</w:t>
            </w:r>
          </w:p>
          <w:p w:rsidR="00000000" w:rsidDel="00000000" w:rsidP="00000000" w:rsidRDefault="00000000" w:rsidRPr="00000000" w14:paraId="00000094">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r w:rsidDel="00000000" w:rsidR="00000000" w:rsidRPr="00000000">
              <w:rPr>
                <w:rtl w:val="0"/>
              </w:rPr>
            </w:r>
          </w:p>
        </w:tc>
      </w:tr>
      <w:tr>
        <w:tc>
          <w:tcPr>
            <w:shd w:fill="auto" w:val="clear"/>
            <w:tcMar>
              <w:top w:w="100.0" w:type="dxa"/>
              <w:left w:w="100.0" w:type="dxa"/>
              <w:bottom w:w="100.0" w:type="dxa"/>
              <w:right w:w="100.0" w:type="dxa"/>
            </w:tcMar>
          </w:tcPr>
          <w:p w:rsidR="00000000" w:rsidDel="00000000" w:rsidP="00000000" w:rsidRDefault="00000000" w:rsidRPr="00000000" w14:paraId="00000095">
            <w:pPr>
              <w:widowControl w:val="0"/>
              <w:pBdr>
                <w:top w:space="0" w:sz="0" w:val="nil"/>
                <w:left w:space="0" w:sz="0" w:val="nil"/>
                <w:bottom w:space="0" w:sz="0" w:val="nil"/>
                <w:right w:space="0" w:sz="0" w:val="nil"/>
                <w:between w:space="0" w:sz="0" w:val="nil"/>
              </w:pBd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28</w:t>
            </w:r>
          </w:p>
        </w:tc>
        <w:tc>
          <w:tcPr>
            <w:shd w:fill="auto" w:val="clear"/>
            <w:tcMar>
              <w:top w:w="100.0" w:type="dxa"/>
              <w:left w:w="100.0" w:type="dxa"/>
              <w:bottom w:w="100.0" w:type="dxa"/>
              <w:right w:w="100.0" w:type="dxa"/>
            </w:tcMar>
          </w:tcPr>
          <w:p w:rsidR="00000000" w:rsidDel="00000000" w:rsidP="00000000" w:rsidRDefault="00000000" w:rsidRPr="00000000" w14:paraId="00000096">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0"/>
                <w:szCs w:val="20"/>
              </w:rPr>
            </w:pPr>
            <w:bookmarkStart w:colFirst="0" w:colLast="0" w:name="_heading=h.1t3h5sf" w:id="6"/>
            <w:bookmarkEnd w:id="6"/>
            <w:r w:rsidDel="00000000" w:rsidR="00000000" w:rsidRPr="00000000">
              <w:rPr>
                <w:rFonts w:ascii="Arial" w:cs="Arial" w:eastAsia="Arial" w:hAnsi="Arial"/>
                <w:b w:val="1"/>
                <w:sz w:val="20"/>
                <w:szCs w:val="20"/>
                <w:rtl w:val="0"/>
              </w:rPr>
              <w:t xml:space="preserve">Additional services</w:t>
            </w:r>
          </w:p>
        </w:tc>
      </w:tr>
    </w:tbl>
    <w:p w:rsidR="00000000" w:rsidDel="00000000" w:rsidP="00000000" w:rsidRDefault="00000000" w:rsidRPr="00000000" w14:paraId="00000097">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8">
      <w:pPr>
        <w:rPr>
          <w:rFonts w:ascii="Arial" w:cs="Arial" w:eastAsia="Arial" w:hAnsi="Arial"/>
          <w:b w:val="1"/>
        </w:rPr>
      </w:pPr>
      <w:r w:rsidDel="00000000" w:rsidR="00000000" w:rsidRPr="00000000">
        <w:rPr>
          <w:rFonts w:ascii="Arial" w:cs="Arial" w:eastAsia="Arial" w:hAnsi="Arial"/>
          <w:b w:val="1"/>
          <w:rtl w:val="0"/>
        </w:rPr>
        <w:t xml:space="preserve">    Workbook 1</w:t>
      </w:r>
    </w:p>
    <w:p w:rsidR="00000000" w:rsidDel="00000000" w:rsidP="00000000" w:rsidRDefault="00000000" w:rsidRPr="00000000" w14:paraId="00000099">
      <w:pPr>
        <w:rPr>
          <w:rFonts w:ascii="Arial" w:cs="Arial" w:eastAsia="Arial" w:hAnsi="Arial"/>
          <w:b w:val="1"/>
          <w:sz w:val="24"/>
          <w:szCs w:val="24"/>
        </w:rPr>
      </w:pPr>
      <w:bookmarkStart w:colFirst="0" w:colLast="0" w:name="_heading=h.3dy6vkm" w:id="7"/>
      <w:bookmarkEnd w:id="7"/>
      <w:r w:rsidDel="00000000" w:rsidR="00000000" w:rsidRPr="00000000">
        <w:rPr>
          <w:rFonts w:ascii="Arial" w:cs="Arial" w:eastAsia="Arial" w:hAnsi="Arial"/>
          <w:b w:val="1"/>
          <w:sz w:val="24"/>
          <w:szCs w:val="24"/>
        </w:rPr>
        <w:pict>
          <v:shape id="_x0000_i1025" style="width:76pt;height:49pt" o:ole="" type="#_x0000_t75">
            <v:imagedata r:id="rId1" o:title=""/>
          </v:shape>
          <o:OLEObject DrawAspect="Icon" r:id="rId2" ObjectID="_1668340950" ProgID="Excel.Sheet.12" ShapeID="_x0000_i1025" Type="Embed"/>
        </w:pict>
      </w:r>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E">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0">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RM6168 - Estate Management Services</w:t>
      <w:tab/>
      <w:t xml:space="preserve">                                           </w:t>
    </w:r>
  </w:p>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3">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2"/>
        <w:szCs w:val="22"/>
        <w:u w:val="none"/>
        <w:vertAlign w:val="baseline"/>
      </w:rPr>
    </w:lvl>
    <w:lvl w:ilvl="2">
      <w:start w:val="1"/>
      <w:numFmt w:val="decimal"/>
      <w:lvlText w:val="%1.%2.%3"/>
      <w:lvlJc w:val="left"/>
      <w:pPr>
        <w:ind w:left="990" w:hanging="720"/>
      </w:pPr>
      <w:rPr>
        <w:b w:val="0"/>
        <w:i w:val="0"/>
        <w:smallCaps w:val="0"/>
        <w:strike w:val="0"/>
        <w:color w:val="000000"/>
        <w:sz w:val="22"/>
        <w:szCs w:val="22"/>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9/1Qy1GxmdVvvQyZBLFetPO7Ag==">AMUW2mXi0cX4A9JmWyINvUpGZbtN2nCF8QuwCB171j9OSSKJtgtla0oHrlDR6BJmqpIpsENsmo4UoH0yW1HPUHxcPs0xEHsF+mmFDxxVJmr4qeHPvQR1I8xoabJaIqjDzkYpHMrp7G6r4PF0WRQ4dUFQ3rtEZ5cGnkA4AWVoaZWgmQBq5nNYL60JTk+wLc3zbZKIzkpxRcQTnLSLK7VhtDtMeow6k2IBeVrjKRCVbjsSy+1LgPVKvh4=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2020-11-18T15:29:00Z</dcterms:created>
  <dc:creator>Sunil Sood</dc:creator>
</cp:coreProperties>
</file>